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AA71" w14:textId="20BB8D97" w:rsidR="006362AB" w:rsidRDefault="00596AF2" w:rsidP="00B130D6">
      <w:pPr>
        <w:spacing w:after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three primary </w:t>
      </w:r>
      <w:r w:rsidR="00945DF4" w:rsidRPr="006362AB">
        <w:rPr>
          <w:rFonts w:ascii="Times New Roman" w:hAnsi="Times New Roman" w:cs="Times New Roman"/>
          <w:b/>
          <w:bCs/>
          <w:sz w:val="36"/>
          <w:szCs w:val="36"/>
        </w:rPr>
        <w:t xml:space="preserve">ways </w:t>
      </w:r>
      <w:r>
        <w:rPr>
          <w:rFonts w:ascii="Times New Roman" w:hAnsi="Times New Roman" w:cs="Times New Roman"/>
          <w:b/>
          <w:bCs/>
          <w:sz w:val="36"/>
          <w:szCs w:val="36"/>
        </w:rPr>
        <w:t>NC local governments</w:t>
      </w:r>
      <w:r w:rsidR="00385E8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45DF4" w:rsidRPr="006362AB">
        <w:rPr>
          <w:rFonts w:ascii="Times New Roman" w:hAnsi="Times New Roman" w:cs="Times New Roman"/>
          <w:b/>
          <w:bCs/>
          <w:sz w:val="36"/>
          <w:szCs w:val="36"/>
        </w:rPr>
        <w:t>borrow money</w:t>
      </w:r>
    </w:p>
    <w:p w14:paraId="5633AFB9" w14:textId="044FC080" w:rsidR="0097508D" w:rsidRPr="0097508D" w:rsidRDefault="0097508D" w:rsidP="0097508D">
      <w:pPr>
        <w:spacing w:after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508D">
        <w:rPr>
          <w:rFonts w:ascii="Times New Roman" w:hAnsi="Times New Roman" w:cs="Times New Roman"/>
          <w:i/>
          <w:iCs/>
          <w:sz w:val="20"/>
          <w:szCs w:val="20"/>
        </w:rPr>
        <w:t>For a local government to borrow money, it has to use a tool authorized by the statutes and then follow the particular rules.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885"/>
        <w:gridCol w:w="4050"/>
        <w:gridCol w:w="4050"/>
        <w:gridCol w:w="3240"/>
      </w:tblGrid>
      <w:tr w:rsidR="00B130D6" w:rsidRPr="0097508D" w14:paraId="430CBF1C" w14:textId="77777777" w:rsidTr="00517A87">
        <w:tc>
          <w:tcPr>
            <w:tcW w:w="1885" w:type="dxa"/>
          </w:tcPr>
          <w:p w14:paraId="75D7AAEF" w14:textId="626F06AE" w:rsidR="00B130D6" w:rsidRPr="004F6190" w:rsidRDefault="0097508D" w:rsidP="00B130D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96020" wp14:editId="4246C0B3">
                      <wp:simplePos x="0" y="0"/>
                      <wp:positionH relativeFrom="column">
                        <wp:posOffset>407216</wp:posOffset>
                      </wp:positionH>
                      <wp:positionV relativeFrom="paragraph">
                        <wp:posOffset>15240</wp:posOffset>
                      </wp:positionV>
                      <wp:extent cx="978408" cy="239123"/>
                      <wp:effectExtent l="0" t="19050" r="31750" b="4699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23912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776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32.05pt;margin-top:1.2pt;width:77.05pt;height: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" adj="18960" fillcolor="#5b9bd5 [3204]" strokecolor="#1f4d78 [1604]" strokeweight="1pt"/>
                  </w:pict>
                </mc:Fallback>
              </mc:AlternateContent>
            </w:r>
            <w:r w:rsidRPr="004F6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4050" w:type="dxa"/>
          </w:tcPr>
          <w:p w14:paraId="66DF1224" w14:textId="42AC5E4D" w:rsidR="00B130D6" w:rsidRPr="0097508D" w:rsidRDefault="00B130D6" w:rsidP="00B13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Installment Financings </w:t>
            </w:r>
          </w:p>
        </w:tc>
        <w:tc>
          <w:tcPr>
            <w:tcW w:w="4050" w:type="dxa"/>
          </w:tcPr>
          <w:p w14:paraId="6DC5963F" w14:textId="707A5B43" w:rsidR="00B130D6" w:rsidRPr="0097508D" w:rsidRDefault="00B130D6" w:rsidP="00B13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Revenue Bonds</w:t>
            </w:r>
          </w:p>
        </w:tc>
        <w:tc>
          <w:tcPr>
            <w:tcW w:w="3240" w:type="dxa"/>
          </w:tcPr>
          <w:p w14:paraId="3E93B17C" w14:textId="1082A258" w:rsidR="00B130D6" w:rsidRPr="0097508D" w:rsidRDefault="00B130D6" w:rsidP="00B13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Obligation Bonds</w:t>
            </w:r>
          </w:p>
        </w:tc>
      </w:tr>
      <w:tr w:rsidR="00B130D6" w:rsidRPr="0097508D" w14:paraId="4A97D722" w14:textId="77777777" w:rsidTr="00517A87">
        <w:tc>
          <w:tcPr>
            <w:tcW w:w="1885" w:type="dxa"/>
          </w:tcPr>
          <w:p w14:paraId="5B0C5F93" w14:textId="27D57135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 of repayments</w:t>
            </w:r>
          </w:p>
        </w:tc>
        <w:tc>
          <w:tcPr>
            <w:tcW w:w="4050" w:type="dxa"/>
          </w:tcPr>
          <w:p w14:paraId="0B7BF9A3" w14:textId="459DBC3B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Utility fund or general fund revenues, depending on the project</w:t>
            </w:r>
          </w:p>
        </w:tc>
        <w:tc>
          <w:tcPr>
            <w:tcW w:w="4050" w:type="dxa"/>
          </w:tcPr>
          <w:p w14:paraId="04BB7268" w14:textId="65A4B90A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Net revenues of the utility fund</w:t>
            </w:r>
          </w:p>
        </w:tc>
        <w:tc>
          <w:tcPr>
            <w:tcW w:w="3240" w:type="dxa"/>
          </w:tcPr>
          <w:p w14:paraId="503634E3" w14:textId="1C038BE8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Utility fund or general fund revenues, depending on the project</w:t>
            </w:r>
          </w:p>
        </w:tc>
      </w:tr>
      <w:tr w:rsidR="00B130D6" w:rsidRPr="0097508D" w14:paraId="5C9CC734" w14:textId="77777777" w:rsidTr="00517A87">
        <w:tc>
          <w:tcPr>
            <w:tcW w:w="1885" w:type="dxa"/>
          </w:tcPr>
          <w:p w14:paraId="3E25180E" w14:textId="0B7FC178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Security for the lender</w:t>
            </w:r>
          </w:p>
        </w:tc>
        <w:tc>
          <w:tcPr>
            <w:tcW w:w="4050" w:type="dxa"/>
          </w:tcPr>
          <w:p w14:paraId="4FB174E4" w14:textId="0558FE8D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Mortgage-type interest in some or all of the property being acquired or improved</w:t>
            </w:r>
            <w:r w:rsidR="0097508D" w:rsidRPr="0097508D">
              <w:rPr>
                <w:rFonts w:ascii="Times New Roman" w:hAnsi="Times New Roman" w:cs="Times New Roman"/>
                <w:sz w:val="20"/>
                <w:szCs w:val="20"/>
              </w:rPr>
              <w:t>. Essentially “lease-purchase”</w:t>
            </w:r>
          </w:p>
        </w:tc>
        <w:tc>
          <w:tcPr>
            <w:tcW w:w="4050" w:type="dxa"/>
          </w:tcPr>
          <w:p w14:paraId="3018AFB9" w14:textId="3FB51197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 xml:space="preserve">Promise to raise rates as necessary to cover system expenses and pay the loan </w:t>
            </w:r>
          </w:p>
        </w:tc>
        <w:tc>
          <w:tcPr>
            <w:tcW w:w="3240" w:type="dxa"/>
          </w:tcPr>
          <w:p w14:paraId="08D132F6" w14:textId="20624716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Promise to raise taxes as necessary to pay the loan</w:t>
            </w:r>
          </w:p>
        </w:tc>
      </w:tr>
      <w:tr w:rsidR="00B130D6" w:rsidRPr="0097508D" w14:paraId="34678E68" w14:textId="77777777" w:rsidTr="00517A87">
        <w:tc>
          <w:tcPr>
            <w:tcW w:w="1885" w:type="dxa"/>
          </w:tcPr>
          <w:p w14:paraId="05930CCE" w14:textId="23F43541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LGC approval required?</w:t>
            </w:r>
          </w:p>
        </w:tc>
        <w:tc>
          <w:tcPr>
            <w:tcW w:w="4050" w:type="dxa"/>
          </w:tcPr>
          <w:p w14:paraId="16E4D8A2" w14:textId="0D027FAA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Yes, if the loan is for more than $500K and extends beyond 5 years, or involves improvements to real property</w:t>
            </w:r>
          </w:p>
        </w:tc>
        <w:tc>
          <w:tcPr>
            <w:tcW w:w="4050" w:type="dxa"/>
          </w:tcPr>
          <w:p w14:paraId="755EF86D" w14:textId="2B882F2C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240" w:type="dxa"/>
          </w:tcPr>
          <w:p w14:paraId="18209101" w14:textId="61FC8EB6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B130D6" w:rsidRPr="0097508D" w14:paraId="35B41399" w14:textId="77777777" w:rsidTr="00517A87">
        <w:tc>
          <w:tcPr>
            <w:tcW w:w="1885" w:type="dxa"/>
          </w:tcPr>
          <w:p w14:paraId="03CF0AB8" w14:textId="11AC67B1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Voter approval required?</w:t>
            </w:r>
          </w:p>
        </w:tc>
        <w:tc>
          <w:tcPr>
            <w:tcW w:w="4050" w:type="dxa"/>
          </w:tcPr>
          <w:p w14:paraId="09E970C5" w14:textId="33E8442C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No, only a public hearing</w:t>
            </w:r>
          </w:p>
        </w:tc>
        <w:tc>
          <w:tcPr>
            <w:tcW w:w="4050" w:type="dxa"/>
          </w:tcPr>
          <w:p w14:paraId="38DAEDA4" w14:textId="1C7771C7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No, and not even a public hearing</w:t>
            </w:r>
          </w:p>
        </w:tc>
        <w:tc>
          <w:tcPr>
            <w:tcW w:w="3240" w:type="dxa"/>
          </w:tcPr>
          <w:p w14:paraId="1BEEDD7F" w14:textId="0D599CA8" w:rsidR="00B130D6" w:rsidRPr="0097508D" w:rsidRDefault="00B130D6" w:rsidP="00B130D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 xml:space="preserve">Yes (well almost always – not for </w:t>
            </w:r>
            <w:r w:rsidR="00BB46B6" w:rsidRPr="0097508D">
              <w:rPr>
                <w:rFonts w:ascii="Times New Roman" w:hAnsi="Times New Roman" w:cs="Times New Roman"/>
                <w:sz w:val="20"/>
                <w:szCs w:val="20"/>
              </w:rPr>
              <w:t>refinancing’s</w:t>
            </w:r>
            <w:bookmarkStart w:id="0" w:name="_GoBack"/>
            <w:bookmarkEnd w:id="0"/>
            <w:r w:rsidRPr="009750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7A87" w:rsidRPr="0097508D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Pr="0097508D">
              <w:rPr>
                <w:rFonts w:ascii="Times New Roman" w:hAnsi="Times New Roman" w:cs="Times New Roman"/>
                <w:sz w:val="20"/>
                <w:szCs w:val="20"/>
              </w:rPr>
              <w:t xml:space="preserve"> other limited exceptions)</w:t>
            </w:r>
          </w:p>
        </w:tc>
      </w:tr>
    </w:tbl>
    <w:p w14:paraId="1141A8B6" w14:textId="2ED0DC92" w:rsidR="00945DF4" w:rsidRPr="0097508D" w:rsidRDefault="00945DF4" w:rsidP="00B83A29">
      <w:pPr>
        <w:spacing w:after="240"/>
        <w:rPr>
          <w:rFonts w:ascii="Times New Roman" w:hAnsi="Times New Roman" w:cs="Times New Roman"/>
          <w:sz w:val="20"/>
          <w:szCs w:val="20"/>
        </w:rPr>
      </w:pPr>
    </w:p>
    <w:p w14:paraId="1DAAAA8D" w14:textId="111E88FA" w:rsidR="00945DF4" w:rsidRPr="0097508D" w:rsidRDefault="00945DF4" w:rsidP="00B83A29">
      <w:pPr>
        <w:spacing w:after="240"/>
        <w:rPr>
          <w:rFonts w:ascii="Times New Roman" w:hAnsi="Times New Roman" w:cs="Times New Roman"/>
          <w:b/>
          <w:bCs/>
          <w:sz w:val="20"/>
          <w:szCs w:val="20"/>
        </w:rPr>
      </w:pPr>
      <w:r w:rsidRPr="0097508D">
        <w:rPr>
          <w:rFonts w:ascii="Times New Roman" w:hAnsi="Times New Roman" w:cs="Times New Roman"/>
          <w:b/>
          <w:bCs/>
          <w:sz w:val="20"/>
          <w:szCs w:val="20"/>
        </w:rPr>
        <w:t>Other points to note –</w:t>
      </w:r>
    </w:p>
    <w:p w14:paraId="4D17C83C" w14:textId="0A3B789D" w:rsidR="00945DF4" w:rsidRPr="0097508D" w:rsidRDefault="00945DF4" w:rsidP="00517A8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97508D">
        <w:rPr>
          <w:rFonts w:ascii="Times New Roman" w:hAnsi="Times New Roman" w:cs="Times New Roman"/>
          <w:sz w:val="20"/>
          <w:szCs w:val="20"/>
        </w:rPr>
        <w:tab/>
        <w:t xml:space="preserve">LGC will require that you have construction bids </w:t>
      </w:r>
      <w:r w:rsidR="00B130D6" w:rsidRPr="0097508D">
        <w:rPr>
          <w:rFonts w:ascii="Times New Roman" w:hAnsi="Times New Roman" w:cs="Times New Roman"/>
          <w:sz w:val="20"/>
          <w:szCs w:val="20"/>
        </w:rPr>
        <w:t xml:space="preserve">and all key permits </w:t>
      </w:r>
      <w:r w:rsidRPr="0097508D">
        <w:rPr>
          <w:rFonts w:ascii="Times New Roman" w:hAnsi="Times New Roman" w:cs="Times New Roman"/>
          <w:sz w:val="20"/>
          <w:szCs w:val="20"/>
        </w:rPr>
        <w:t>in hand before allowing you to close a financing.</w:t>
      </w:r>
      <w:r w:rsidR="006362AB" w:rsidRPr="0097508D">
        <w:rPr>
          <w:rFonts w:ascii="Times New Roman" w:hAnsi="Times New Roman" w:cs="Times New Roman"/>
          <w:sz w:val="20"/>
          <w:szCs w:val="20"/>
        </w:rPr>
        <w:t xml:space="preserve"> </w:t>
      </w:r>
      <w:r w:rsidRPr="0097508D">
        <w:rPr>
          <w:rFonts w:ascii="Times New Roman" w:hAnsi="Times New Roman" w:cs="Times New Roman"/>
          <w:sz w:val="20"/>
          <w:szCs w:val="20"/>
        </w:rPr>
        <w:t>LGC will not approve loans in November (or thereafter) until your new audit has been approved</w:t>
      </w:r>
      <w:r w:rsidR="00B130D6" w:rsidRPr="0097508D">
        <w:rPr>
          <w:rFonts w:ascii="Times New Roman" w:hAnsi="Times New Roman" w:cs="Times New Roman"/>
          <w:sz w:val="20"/>
          <w:szCs w:val="20"/>
        </w:rPr>
        <w:t>. LGC is not hard or scary to deal with; they just have questions and a few rules.</w:t>
      </w:r>
    </w:p>
    <w:p w14:paraId="620ACE18" w14:textId="422A07D1" w:rsidR="00B130D6" w:rsidRPr="0097508D" w:rsidRDefault="00B130D6" w:rsidP="00517A8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97508D">
        <w:rPr>
          <w:rFonts w:ascii="Times New Roman" w:hAnsi="Times New Roman" w:cs="Times New Roman"/>
          <w:sz w:val="20"/>
          <w:szCs w:val="20"/>
        </w:rPr>
        <w:tab/>
        <w:t>LGC requires loans being paid from general fund money to be paid on a “level principal” basis, so payments are higher in earlier years. Loans for utility projects can be repaid on the basis of a “level total payment.”</w:t>
      </w:r>
    </w:p>
    <w:p w14:paraId="44EBDFF7" w14:textId="46BD6BED" w:rsidR="00B130D6" w:rsidRPr="0097508D" w:rsidRDefault="00B130D6" w:rsidP="00517A8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97508D">
        <w:rPr>
          <w:rFonts w:ascii="Times New Roman" w:hAnsi="Times New Roman" w:cs="Times New Roman"/>
          <w:sz w:val="20"/>
          <w:szCs w:val="20"/>
        </w:rPr>
        <w:tab/>
        <w:t>Any of these loan types can either be placed with a single bank in a negotiated sale (a “bank placement”) or sold on the public security markets (a “public sale”). Once your loan gets to about $5 million you should evaluate those alternatives – a bank placement is always easier and quicker, but a public offering can be substantially cheaper, ever with higher transaction costs.</w:t>
      </w:r>
    </w:p>
    <w:p w14:paraId="5A45D3AC" w14:textId="3C698921" w:rsidR="00B130D6" w:rsidRPr="0097508D" w:rsidRDefault="00B130D6" w:rsidP="00517A8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97508D">
        <w:rPr>
          <w:rFonts w:ascii="Times New Roman" w:hAnsi="Times New Roman" w:cs="Times New Roman"/>
          <w:sz w:val="20"/>
          <w:szCs w:val="20"/>
        </w:rPr>
        <w:tab/>
        <w:t xml:space="preserve">LGC generally limits you to a 20-year payback period (except in the case of a 40-year USDA loan and occasionally 25 years on a utility project). </w:t>
      </w:r>
      <w:r w:rsidR="00517A87" w:rsidRPr="0097508D">
        <w:rPr>
          <w:rFonts w:ascii="Times New Roman" w:hAnsi="Times New Roman" w:cs="Times New Roman"/>
          <w:sz w:val="20"/>
          <w:szCs w:val="20"/>
        </w:rPr>
        <w:t>Sometimes it is</w:t>
      </w:r>
      <w:r w:rsidRPr="0097508D">
        <w:rPr>
          <w:rFonts w:ascii="Times New Roman" w:hAnsi="Times New Roman" w:cs="Times New Roman"/>
          <w:sz w:val="20"/>
          <w:szCs w:val="20"/>
        </w:rPr>
        <w:t xml:space="preserve"> difficult to find a bank to offer more 15-year financing. Public markets can always go to 20 or 25.</w:t>
      </w:r>
    </w:p>
    <w:p w14:paraId="268ED4B0" w14:textId="617AB74A" w:rsidR="00B130D6" w:rsidRPr="0097508D" w:rsidRDefault="00B130D6" w:rsidP="0097508D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97508D">
        <w:rPr>
          <w:rFonts w:ascii="Times New Roman" w:hAnsi="Times New Roman" w:cs="Times New Roman"/>
          <w:sz w:val="20"/>
          <w:szCs w:val="20"/>
        </w:rPr>
        <w:tab/>
        <w:t xml:space="preserve">This summary is general, it covers only the three main financing types, and there are exceptions to every rule. </w:t>
      </w:r>
    </w:p>
    <w:sectPr w:rsidR="00B130D6" w:rsidRPr="0097508D" w:rsidSect="00B130D6">
      <w:head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D1DB" w14:textId="77777777" w:rsidR="000A7566" w:rsidRDefault="000A7566" w:rsidP="00CE0B52">
      <w:pPr>
        <w:spacing w:after="0" w:line="240" w:lineRule="auto"/>
      </w:pPr>
      <w:r>
        <w:separator/>
      </w:r>
    </w:p>
  </w:endnote>
  <w:endnote w:type="continuationSeparator" w:id="0">
    <w:p w14:paraId="66D570EB" w14:textId="77777777" w:rsidR="000A7566" w:rsidRDefault="000A7566" w:rsidP="00CE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60D1E" w14:textId="77777777" w:rsidR="000A7566" w:rsidRDefault="000A7566" w:rsidP="00CE0B52">
      <w:pPr>
        <w:spacing w:after="0" w:line="240" w:lineRule="auto"/>
      </w:pPr>
      <w:r>
        <w:separator/>
      </w:r>
    </w:p>
  </w:footnote>
  <w:footnote w:type="continuationSeparator" w:id="0">
    <w:p w14:paraId="66A96C3B" w14:textId="77777777" w:rsidR="000A7566" w:rsidRDefault="000A7566" w:rsidP="00CE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9480" w14:textId="77777777" w:rsidR="0010681D" w:rsidRPr="00B130D6" w:rsidRDefault="0010681D" w:rsidP="0010681D">
    <w:pPr>
      <w:spacing w:after="0" w:line="264" w:lineRule="auto"/>
      <w:rPr>
        <w:color w:val="1F497D"/>
        <w:sz w:val="36"/>
        <w:szCs w:val="36"/>
      </w:rPr>
    </w:pPr>
    <w:r w:rsidRPr="00B130D6">
      <w:rPr>
        <w:rFonts w:ascii="Garamond" w:hAnsi="Garamond"/>
        <w:color w:val="0B5394"/>
        <w:sz w:val="36"/>
        <w:szCs w:val="36"/>
      </w:rPr>
      <w:t>Sanford</w:t>
    </w:r>
    <w:r w:rsidRPr="00B130D6">
      <w:rPr>
        <w:rFonts w:ascii="Garamond" w:hAnsi="Garamond"/>
        <w:color w:val="990000"/>
        <w:sz w:val="36"/>
        <w:szCs w:val="36"/>
      </w:rPr>
      <w:t>Holshouser</w:t>
    </w:r>
  </w:p>
  <w:p w14:paraId="6A1AD6AD" w14:textId="77777777" w:rsidR="0010681D" w:rsidRPr="0010681D" w:rsidRDefault="0010681D" w:rsidP="0010681D">
    <w:pPr>
      <w:spacing w:after="0" w:line="264" w:lineRule="auto"/>
      <w:rPr>
        <w:rFonts w:ascii="Garamond" w:hAnsi="Garamond"/>
        <w:color w:val="1F497D"/>
        <w:sz w:val="32"/>
        <w:szCs w:val="32"/>
      </w:rPr>
    </w:pPr>
    <w:r w:rsidRPr="0010681D">
      <w:rPr>
        <w:rFonts w:ascii="Garamond" w:hAnsi="Garamond"/>
        <w:color w:val="1F497D"/>
        <w:sz w:val="32"/>
        <w:szCs w:val="32"/>
      </w:rPr>
      <w:t>www.</w:t>
    </w:r>
    <w:r w:rsidRPr="00B130D6">
      <w:rPr>
        <w:rFonts w:ascii="Garamond" w:hAnsi="Garamond"/>
        <w:color w:val="1F497D"/>
        <w:sz w:val="28"/>
        <w:szCs w:val="28"/>
      </w:rPr>
      <w:t>Sanfordholshouserlaw</w:t>
    </w:r>
    <w:r w:rsidRPr="0010681D">
      <w:rPr>
        <w:rFonts w:ascii="Garamond" w:hAnsi="Garamond"/>
        <w:color w:val="1F497D"/>
        <w:sz w:val="32"/>
        <w:szCs w:val="32"/>
      </w:rPr>
      <w:t xml:space="preserve">.com </w:t>
    </w:r>
  </w:p>
  <w:p w14:paraId="07994D19" w14:textId="77777777" w:rsidR="00CE0B52" w:rsidRPr="00CE0B52" w:rsidRDefault="00CE0B52">
    <w:pPr>
      <w:pStyle w:val="Header"/>
      <w:rPr>
        <w:rFonts w:ascii="Garamond" w:hAnsi="Garamond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350"/>
    <w:multiLevelType w:val="hybridMultilevel"/>
    <w:tmpl w:val="F44E173E"/>
    <w:lvl w:ilvl="0" w:tplc="35A8E6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63D9"/>
    <w:multiLevelType w:val="hybridMultilevel"/>
    <w:tmpl w:val="52807BB0"/>
    <w:lvl w:ilvl="0" w:tplc="8132F7C2">
      <w:start w:val="600"/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2E52AE"/>
    <w:multiLevelType w:val="hybridMultilevel"/>
    <w:tmpl w:val="2FE6CFEC"/>
    <w:lvl w:ilvl="0" w:tplc="3F785B76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5A55"/>
    <w:multiLevelType w:val="hybridMultilevel"/>
    <w:tmpl w:val="BE6EFC66"/>
    <w:lvl w:ilvl="0" w:tplc="D284CF8C">
      <w:start w:val="10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4E54"/>
    <w:multiLevelType w:val="hybridMultilevel"/>
    <w:tmpl w:val="61BCCEF6"/>
    <w:lvl w:ilvl="0" w:tplc="8D989A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A3998"/>
    <w:multiLevelType w:val="hybridMultilevel"/>
    <w:tmpl w:val="8A30FE7E"/>
    <w:lvl w:ilvl="0" w:tplc="24AE71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623C40"/>
    <w:multiLevelType w:val="hybridMultilevel"/>
    <w:tmpl w:val="4C34BAD6"/>
    <w:lvl w:ilvl="0" w:tplc="6FA47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52"/>
    <w:rsid w:val="000A7566"/>
    <w:rsid w:val="000D3F51"/>
    <w:rsid w:val="000F22FD"/>
    <w:rsid w:val="0010681D"/>
    <w:rsid w:val="001472EA"/>
    <w:rsid w:val="00167036"/>
    <w:rsid w:val="0016781D"/>
    <w:rsid w:val="001C40E9"/>
    <w:rsid w:val="002049DF"/>
    <w:rsid w:val="002145FD"/>
    <w:rsid w:val="002515FC"/>
    <w:rsid w:val="00252E85"/>
    <w:rsid w:val="002A181B"/>
    <w:rsid w:val="002B3CF6"/>
    <w:rsid w:val="00311392"/>
    <w:rsid w:val="00361D3F"/>
    <w:rsid w:val="00367003"/>
    <w:rsid w:val="0037476D"/>
    <w:rsid w:val="00385E8D"/>
    <w:rsid w:val="0046661B"/>
    <w:rsid w:val="004D4853"/>
    <w:rsid w:val="004F6190"/>
    <w:rsid w:val="00502FFC"/>
    <w:rsid w:val="00516359"/>
    <w:rsid w:val="00517A87"/>
    <w:rsid w:val="00536235"/>
    <w:rsid w:val="00542298"/>
    <w:rsid w:val="00577A34"/>
    <w:rsid w:val="005800D4"/>
    <w:rsid w:val="00596AF2"/>
    <w:rsid w:val="005C7678"/>
    <w:rsid w:val="005F2901"/>
    <w:rsid w:val="00636027"/>
    <w:rsid w:val="006362AB"/>
    <w:rsid w:val="006678AF"/>
    <w:rsid w:val="0068607C"/>
    <w:rsid w:val="00693CCB"/>
    <w:rsid w:val="006E167C"/>
    <w:rsid w:val="00705543"/>
    <w:rsid w:val="00743A0E"/>
    <w:rsid w:val="00787AB7"/>
    <w:rsid w:val="00827A46"/>
    <w:rsid w:val="008335C8"/>
    <w:rsid w:val="008459A3"/>
    <w:rsid w:val="008C25DA"/>
    <w:rsid w:val="00923C63"/>
    <w:rsid w:val="00945DF4"/>
    <w:rsid w:val="0097508D"/>
    <w:rsid w:val="00A02A19"/>
    <w:rsid w:val="00A365F9"/>
    <w:rsid w:val="00A55022"/>
    <w:rsid w:val="00AB46E6"/>
    <w:rsid w:val="00AD35CB"/>
    <w:rsid w:val="00AD543F"/>
    <w:rsid w:val="00B130D6"/>
    <w:rsid w:val="00B24D75"/>
    <w:rsid w:val="00B64159"/>
    <w:rsid w:val="00B83A29"/>
    <w:rsid w:val="00B8764D"/>
    <w:rsid w:val="00BB46B6"/>
    <w:rsid w:val="00C9665F"/>
    <w:rsid w:val="00CB6467"/>
    <w:rsid w:val="00CE03F5"/>
    <w:rsid w:val="00CE0B52"/>
    <w:rsid w:val="00CF38C3"/>
    <w:rsid w:val="00D169BD"/>
    <w:rsid w:val="00D34694"/>
    <w:rsid w:val="00D62249"/>
    <w:rsid w:val="00DC2431"/>
    <w:rsid w:val="00DD1160"/>
    <w:rsid w:val="00E0661C"/>
    <w:rsid w:val="00E43E91"/>
    <w:rsid w:val="00E9559D"/>
    <w:rsid w:val="00E959E7"/>
    <w:rsid w:val="00EA4DB2"/>
    <w:rsid w:val="00F14B61"/>
    <w:rsid w:val="00F30344"/>
    <w:rsid w:val="00F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420F"/>
  <w15:chartTrackingRefBased/>
  <w15:docId w15:val="{ABC39D83-981D-4F5A-B3D1-48C2D3DA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52"/>
  </w:style>
  <w:style w:type="paragraph" w:styleId="Footer">
    <w:name w:val="footer"/>
    <w:basedOn w:val="Normal"/>
    <w:link w:val="FooterChar"/>
    <w:uiPriority w:val="99"/>
    <w:unhideWhenUsed/>
    <w:rsid w:val="00CE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52"/>
  </w:style>
  <w:style w:type="paragraph" w:styleId="ListParagraph">
    <w:name w:val="List Paragraph"/>
    <w:basedOn w:val="Normal"/>
    <w:uiPriority w:val="34"/>
    <w:qFormat/>
    <w:rsid w:val="00374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Jessup</dc:creator>
  <cp:keywords/>
  <dc:description/>
  <cp:lastModifiedBy>Microsoft Office User</cp:lastModifiedBy>
  <cp:revision>3</cp:revision>
  <cp:lastPrinted>2020-02-11T19:07:00Z</cp:lastPrinted>
  <dcterms:created xsi:type="dcterms:W3CDTF">2020-03-23T14:55:00Z</dcterms:created>
  <dcterms:modified xsi:type="dcterms:W3CDTF">2020-03-23T15:00:00Z</dcterms:modified>
</cp:coreProperties>
</file>